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270372">
        <w:rPr>
          <w:rFonts w:cs="Arial"/>
          <w:b/>
          <w:color w:val="auto"/>
        </w:rPr>
        <w:t xml:space="preserve">CONDUIT VERTICAL ROND ø 125 mm 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270372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270372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270372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270372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270372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270372" w:rsidRDefault="00D87911" w:rsidP="00140B6F">
      <w:pPr>
        <w:pStyle w:val="besteksubtitel"/>
        <w:rPr>
          <w:rFonts w:ascii="Arial" w:hAnsi="Arial" w:cs="Arial"/>
          <w:lang w:val="fr-FR"/>
        </w:rPr>
      </w:pPr>
      <w:r w:rsidRPr="00270372">
        <w:rPr>
          <w:rFonts w:ascii="Arial" w:hAnsi="Arial" w:cs="Arial"/>
          <w:lang w:val="fr-FR"/>
        </w:rPr>
        <w:t>GENERAL</w:t>
      </w:r>
    </w:p>
    <w:p w:rsidR="00270372" w:rsidRDefault="00270372" w:rsidP="00270372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270372" w:rsidRDefault="00270372" w:rsidP="00270372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270372" w:rsidRPr="00270372" w:rsidRDefault="00270372" w:rsidP="00270372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270372">
        <w:rPr>
          <w:rFonts w:ascii="Arial" w:hAnsi="Arial" w:cs="Arial"/>
          <w:b w:val="0"/>
          <w:caps w:val="0"/>
          <w:lang w:val="fr-FR"/>
        </w:rPr>
        <w:t xml:space="preserve">Les conduits ronds sont utilisés la plupart du temps pour couvrir la distance verticale jusqu’au système de ventilation. Un diamètre de 125 mm est conseillé pour des </w:t>
      </w:r>
      <w:r>
        <w:rPr>
          <w:rFonts w:ascii="Arial" w:hAnsi="Arial" w:cs="Arial"/>
          <w:b w:val="0"/>
          <w:caps w:val="0"/>
          <w:lang w:val="fr-FR"/>
        </w:rPr>
        <w:t>pièces avec un débit &gt; 50 m</w:t>
      </w:r>
      <w:bookmarkStart w:id="0" w:name="_GoBack"/>
      <w:r w:rsidRPr="000B6B87">
        <w:rPr>
          <w:rFonts w:ascii="Arial" w:hAnsi="Arial" w:cs="Arial"/>
          <w:b w:val="0"/>
          <w:caps w:val="0"/>
          <w:vertAlign w:val="superscript"/>
          <w:lang w:val="fr-FR"/>
        </w:rPr>
        <w:t>3</w:t>
      </w:r>
      <w:bookmarkEnd w:id="0"/>
      <w:r>
        <w:rPr>
          <w:rFonts w:ascii="Arial" w:hAnsi="Arial" w:cs="Arial"/>
          <w:b w:val="0"/>
          <w:caps w:val="0"/>
          <w:lang w:val="fr-FR"/>
        </w:rPr>
        <w:t>/h.</w:t>
      </w:r>
    </w:p>
    <w:p w:rsidR="00270372" w:rsidRPr="00270372" w:rsidRDefault="00270372" w:rsidP="00270372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270372">
        <w:rPr>
          <w:rFonts w:ascii="Arial" w:hAnsi="Arial" w:cs="Arial"/>
          <w:b w:val="0"/>
          <w:caps w:val="0"/>
          <w:lang w:val="fr-FR"/>
        </w:rPr>
        <w:t xml:space="preserve">Le conduit vertical rond Ø 125 mm est caractérisé par une </w:t>
      </w:r>
      <w:r w:rsidRPr="00F929C4">
        <w:rPr>
          <w:rFonts w:ascii="Arial" w:hAnsi="Arial" w:cs="Arial"/>
          <w:caps w:val="0"/>
          <w:lang w:val="fr-FR"/>
        </w:rPr>
        <w:t>perte de charge très faible</w:t>
      </w:r>
      <w:r w:rsidRPr="00270372">
        <w:rPr>
          <w:rFonts w:ascii="Arial" w:hAnsi="Arial" w:cs="Arial"/>
          <w:b w:val="0"/>
          <w:caps w:val="0"/>
          <w:lang w:val="fr-FR"/>
        </w:rPr>
        <w:t xml:space="preserve">. Des hauts débits peuvent être réalisés à des très faibles </w:t>
      </w:r>
      <w:r>
        <w:rPr>
          <w:rFonts w:ascii="Arial" w:hAnsi="Arial" w:cs="Arial"/>
          <w:b w:val="0"/>
          <w:caps w:val="0"/>
          <w:lang w:val="fr-FR"/>
        </w:rPr>
        <w:t>vitesses de l’air.</w:t>
      </w:r>
    </w:p>
    <w:p w:rsidR="00270372" w:rsidRPr="00270372" w:rsidRDefault="00270372" w:rsidP="00270372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270372">
        <w:rPr>
          <w:rFonts w:ascii="Arial" w:hAnsi="Arial" w:cs="Arial"/>
          <w:b w:val="0"/>
          <w:caps w:val="0"/>
          <w:lang w:val="fr-FR"/>
        </w:rPr>
        <w:t>La pièce intermédiaire (G0013132) a une longueur de 25 cm.</w:t>
      </w:r>
    </w:p>
    <w:p w:rsidR="00270372" w:rsidRDefault="00270372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270372" w:rsidRPr="00D87911" w:rsidRDefault="00270372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69479B" w:rsidRPr="00270372" w:rsidRDefault="00D87911" w:rsidP="00F63A5E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D87911" w:rsidRDefault="00D87911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270372" w:rsidRDefault="00270372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270372" w:rsidRPr="00270372" w:rsidRDefault="00270372" w:rsidP="0027037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270372">
        <w:rPr>
          <w:rFonts w:ascii="Arial" w:hAnsi="Arial" w:cs="Arial"/>
          <w:b w:val="0"/>
          <w:caps w:val="0"/>
        </w:rPr>
        <w:t>Fabriqué</w:t>
      </w:r>
      <w:proofErr w:type="spellEnd"/>
      <w:r w:rsidRPr="00270372">
        <w:rPr>
          <w:rFonts w:ascii="Arial" w:hAnsi="Arial" w:cs="Arial"/>
          <w:b w:val="0"/>
          <w:caps w:val="0"/>
        </w:rPr>
        <w:t xml:space="preserve"> en  PVC RAL 9002</w:t>
      </w:r>
    </w:p>
    <w:p w:rsidR="00270372" w:rsidRPr="00F929C4" w:rsidRDefault="00270372" w:rsidP="0027037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F929C4">
        <w:rPr>
          <w:rFonts w:ascii="Arial" w:hAnsi="Arial" w:cs="Arial"/>
          <w:caps w:val="0"/>
        </w:rPr>
        <w:t>Antistatique</w:t>
      </w:r>
      <w:proofErr w:type="spellEnd"/>
    </w:p>
    <w:p w:rsidR="00270372" w:rsidRPr="00F929C4" w:rsidRDefault="00270372" w:rsidP="0027037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fr-FR"/>
        </w:rPr>
      </w:pPr>
      <w:r w:rsidRPr="00F929C4">
        <w:rPr>
          <w:rFonts w:ascii="Arial" w:hAnsi="Arial" w:cs="Arial"/>
          <w:caps w:val="0"/>
          <w:lang w:val="fr-FR"/>
        </w:rPr>
        <w:t>Classe d’étanchéité à l’air D</w:t>
      </w:r>
    </w:p>
    <w:p w:rsidR="00270372" w:rsidRPr="00270372" w:rsidRDefault="00270372" w:rsidP="0027037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270372">
        <w:rPr>
          <w:rFonts w:ascii="Arial" w:hAnsi="Arial" w:cs="Arial"/>
          <w:b w:val="0"/>
          <w:caps w:val="0"/>
          <w:lang w:val="fr-FR"/>
        </w:rPr>
        <w:t>Paroi intérieure lisse</w:t>
      </w:r>
    </w:p>
    <w:p w:rsidR="00270372" w:rsidRPr="00270372" w:rsidRDefault="00270372" w:rsidP="00270372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  <w:lang w:val="fr-FR"/>
        </w:rPr>
      </w:pPr>
      <w:r w:rsidRPr="00270372">
        <w:rPr>
          <w:rFonts w:ascii="Arial" w:hAnsi="Arial" w:cs="Arial"/>
          <w:b w:val="0"/>
          <w:caps w:val="0"/>
          <w:lang w:val="fr-FR"/>
        </w:rPr>
        <w:t>Faible résistance à l’air</w:t>
      </w:r>
    </w:p>
    <w:p w:rsidR="00270372" w:rsidRDefault="00270372" w:rsidP="00270372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proofErr w:type="spellStart"/>
      <w:r w:rsidRPr="00270372">
        <w:rPr>
          <w:rFonts w:ascii="Arial" w:hAnsi="Arial" w:cs="Arial"/>
          <w:b w:val="0"/>
          <w:caps w:val="0"/>
        </w:rPr>
        <w:t>Facile</w:t>
      </w:r>
      <w:proofErr w:type="spellEnd"/>
      <w:r w:rsidRPr="00270372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270372">
        <w:rPr>
          <w:rFonts w:ascii="Arial" w:hAnsi="Arial" w:cs="Arial"/>
          <w:b w:val="0"/>
          <w:caps w:val="0"/>
        </w:rPr>
        <w:t>nettoyer</w:t>
      </w:r>
      <w:proofErr w:type="spellEnd"/>
    </w:p>
    <w:p w:rsidR="00270372" w:rsidRDefault="00270372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270372" w:rsidRPr="00F63A5E" w:rsidRDefault="00270372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270372" w:rsidRDefault="00270372" w:rsidP="00F63A5E">
      <w:pPr>
        <w:pStyle w:val="besteksubtitel"/>
        <w:rPr>
          <w:noProof/>
        </w:rPr>
      </w:pPr>
    </w:p>
    <w:p w:rsidR="00D87911" w:rsidRPr="00F63A5E" w:rsidRDefault="00270372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D855E73" wp14:editId="5F22272D">
            <wp:extent cx="3190943" cy="44447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1283" cy="445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Pr="00270372" w:rsidRDefault="001D13DB">
    <w:pPr>
      <w:pStyle w:val="Pieddepage"/>
      <w:rPr>
        <w:rFonts w:ascii="Calibri" w:hAnsi="Calibri"/>
      </w:rPr>
    </w:pPr>
    <w:r>
      <w:t xml:space="preserve">Easyflex </w:t>
    </w:r>
    <w:proofErr w:type="spellStart"/>
    <w:r w:rsidR="00D87911">
      <w:t>Conduit</w:t>
    </w:r>
    <w:proofErr w:type="spellEnd"/>
    <w:r w:rsidR="00D87911">
      <w:t xml:space="preserve"> </w:t>
    </w:r>
    <w:proofErr w:type="spellStart"/>
    <w:r w:rsidR="00270372">
      <w:t>vertical</w:t>
    </w:r>
    <w:proofErr w:type="spellEnd"/>
    <w:r w:rsidR="00270372">
      <w:t xml:space="preserve"> rond </w:t>
    </w:r>
    <w:r w:rsidR="00270372">
      <w:rPr>
        <w:rFonts w:ascii="Calibri" w:hAnsi="Calibri"/>
      </w:rPr>
      <w:t>ø 125 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B6B87"/>
    <w:rsid w:val="00140B6F"/>
    <w:rsid w:val="00182232"/>
    <w:rsid w:val="001D13DB"/>
    <w:rsid w:val="001E0B7E"/>
    <w:rsid w:val="001F75DD"/>
    <w:rsid w:val="00270372"/>
    <w:rsid w:val="002B3025"/>
    <w:rsid w:val="00485141"/>
    <w:rsid w:val="005731FB"/>
    <w:rsid w:val="00624346"/>
    <w:rsid w:val="00655FDF"/>
    <w:rsid w:val="00664812"/>
    <w:rsid w:val="0069479B"/>
    <w:rsid w:val="0092458E"/>
    <w:rsid w:val="00933BC9"/>
    <w:rsid w:val="00AC12B7"/>
    <w:rsid w:val="00C0769F"/>
    <w:rsid w:val="00C13773"/>
    <w:rsid w:val="00D87911"/>
    <w:rsid w:val="00DE6DC8"/>
    <w:rsid w:val="00F63A5E"/>
    <w:rsid w:val="00F9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2017-06-02T12:15:00Z</dcterms:created>
  <dcterms:modified xsi:type="dcterms:W3CDTF">2017-06-19T11:49:00Z</dcterms:modified>
</cp:coreProperties>
</file>